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4"/>
          <w:szCs w:val="24"/>
        </w:rPr>
        <w:alias w:val="Titel"/>
        <w:tag w:val=""/>
        <w:id w:val="99538055"/>
        <w:placeholder>
          <w:docPart w:val="5542A81D12BE43858E089A0904B0B3AC"/>
        </w:placeholder>
        <w:dataBinding w:prefixMappings="xmlns:ns0='http://purl.org/dc/elements/1.1/' xmlns:ns1='http://schemas.openxmlformats.org/package/2006/metadata/core-properties' " w:xpath="/ns1:coreProperties[1]/ns0:title[1]" w:storeItemID="{6C3C8BC8-F283-45AE-878A-BAB7291924A1}"/>
        <w:text/>
      </w:sdtPr>
      <w:sdtEndPr/>
      <w:sdtContent>
        <w:p w:rsidR="009A1C7B" w:rsidRPr="005A6824" w:rsidRDefault="00FA3B43">
          <w:pPr>
            <w:rPr>
              <w:sz w:val="24"/>
              <w:szCs w:val="24"/>
            </w:rPr>
          </w:pPr>
          <w:r w:rsidRPr="005A6824">
            <w:rPr>
              <w:b/>
              <w:sz w:val="24"/>
              <w:szCs w:val="24"/>
            </w:rPr>
            <w:t xml:space="preserve">909705 </w:t>
          </w:r>
          <w:proofErr w:type="spellStart"/>
          <w:r w:rsidRPr="005A6824">
            <w:rPr>
              <w:b/>
              <w:sz w:val="24"/>
              <w:szCs w:val="24"/>
            </w:rPr>
            <w:t>DEHNgate</w:t>
          </w:r>
          <w:proofErr w:type="spellEnd"/>
          <w:r w:rsidRPr="005A6824">
            <w:rPr>
              <w:b/>
              <w:sz w:val="24"/>
              <w:szCs w:val="24"/>
            </w:rPr>
            <w:t xml:space="preserve"> GFF TV</w:t>
          </w:r>
        </w:p>
      </w:sdtContent>
    </w:sdt>
    <w:p w:rsidR="00FA3B43" w:rsidRPr="00970CCF" w:rsidRDefault="00FA3B43" w:rsidP="00FA3B43">
      <w:r w:rsidRPr="00970CCF">
        <w:t xml:space="preserve">Les systèmes coaxiaux 75 ohm pour la distribution de télévision par câble et la réception de télévision par antenne et satellite sont protégés contre les surtensions engendrées par les impacts directs et éloignés de la foudre par le module de protection </w:t>
      </w:r>
      <w:proofErr w:type="spellStart"/>
      <w:r w:rsidRPr="00970CCF">
        <w:t>DEHNgate</w:t>
      </w:r>
      <w:proofErr w:type="spellEnd"/>
      <w:r w:rsidRPr="00970CCF">
        <w:t xml:space="preserve"> GFF TV. Celui-ci est équipé d’une protection combiné parafoudre et parasurtension, adapté au système et est conçu pour montage sur rail ou montage mural au moyen de l’adaptateur compris dans la fourniture.</w:t>
      </w:r>
      <w:r>
        <w:br/>
      </w:r>
      <w:proofErr w:type="spellStart"/>
      <w:r w:rsidRPr="00970CCF">
        <w:t>DEHNgate</w:t>
      </w:r>
      <w:proofErr w:type="spellEnd"/>
      <w:r w:rsidRPr="00970CCF">
        <w:t xml:space="preserve"> GFF TV dispose en plus d’un raccordement de mesure intégré.</w:t>
      </w:r>
      <w:r>
        <w:br/>
      </w:r>
      <w:proofErr w:type="spellStart"/>
      <w:r w:rsidRPr="00970CCF">
        <w:t>DEHNgate</w:t>
      </w:r>
      <w:proofErr w:type="spellEnd"/>
      <w:r w:rsidRPr="00970CCF">
        <w:t xml:space="preserve"> GFF TV est mis à la terre via le rail DIN ou via la borne de terre intégrée.</w:t>
      </w:r>
    </w:p>
    <w:p w:rsidR="00FA3B43" w:rsidRPr="00970CCF" w:rsidRDefault="00FA3B43" w:rsidP="00FA3B43"/>
    <w:p w:rsidR="00FA3B43" w:rsidRPr="00970CCF" w:rsidRDefault="00FA3B43" w:rsidP="005A6824">
      <w:pPr>
        <w:pStyle w:val="Lijstalinea"/>
        <w:numPr>
          <w:ilvl w:val="0"/>
          <w:numId w:val="1"/>
        </w:numPr>
        <w:ind w:left="851" w:hanging="283"/>
      </w:pPr>
      <w:bookmarkStart w:id="0" w:name="_GoBack"/>
      <w:r w:rsidRPr="00970CCF">
        <w:t>Tension maximale de régime permanent dc UC 24 V</w:t>
      </w:r>
    </w:p>
    <w:p w:rsidR="00FA3B43" w:rsidRPr="00970CCF" w:rsidRDefault="00FA3B43" w:rsidP="005A6824">
      <w:pPr>
        <w:pStyle w:val="Lijstalinea"/>
        <w:numPr>
          <w:ilvl w:val="0"/>
          <w:numId w:val="1"/>
        </w:numPr>
        <w:ind w:left="851" w:hanging="283"/>
      </w:pPr>
      <w:r w:rsidRPr="00970CCF">
        <w:t>Courant nominal IL 2 A</w:t>
      </w:r>
    </w:p>
    <w:p w:rsidR="00FA3B43" w:rsidRPr="00970CCF" w:rsidRDefault="00FA3B43" w:rsidP="005A6824">
      <w:pPr>
        <w:pStyle w:val="Lijstalinea"/>
        <w:numPr>
          <w:ilvl w:val="0"/>
          <w:numId w:val="1"/>
        </w:numPr>
        <w:ind w:left="851" w:hanging="283"/>
      </w:pPr>
      <w:r w:rsidRPr="00970CCF">
        <w:t xml:space="preserve">D1 Courant de choc de foudre (10/350) </w:t>
      </w:r>
      <w:proofErr w:type="spellStart"/>
      <w:r w:rsidRPr="00970CCF">
        <w:t>Iimp</w:t>
      </w:r>
      <w:proofErr w:type="spellEnd"/>
      <w:r w:rsidRPr="00970CCF">
        <w:t xml:space="preserve"> 2,5 kA</w:t>
      </w:r>
    </w:p>
    <w:p w:rsidR="00FA3B43" w:rsidRPr="00970CCF" w:rsidRDefault="00FA3B43" w:rsidP="005A6824">
      <w:pPr>
        <w:pStyle w:val="Lijstalinea"/>
        <w:numPr>
          <w:ilvl w:val="0"/>
          <w:numId w:val="1"/>
        </w:numPr>
        <w:ind w:left="851" w:hanging="283"/>
      </w:pPr>
      <w:r w:rsidRPr="00970CCF">
        <w:t>C2 Courant d’écoulement de choc nominal (8/20) In 10 kA</w:t>
      </w:r>
    </w:p>
    <w:p w:rsidR="00FA3B43" w:rsidRPr="00970CCF" w:rsidRDefault="00FA3B43" w:rsidP="005A6824">
      <w:pPr>
        <w:pStyle w:val="Lijstalinea"/>
        <w:numPr>
          <w:ilvl w:val="0"/>
          <w:numId w:val="1"/>
        </w:numPr>
        <w:ind w:left="851" w:hanging="283"/>
      </w:pPr>
      <w:r w:rsidRPr="00970CCF">
        <w:t xml:space="preserve">Niveau de protection à </w:t>
      </w:r>
      <w:proofErr w:type="spellStart"/>
      <w:r w:rsidRPr="00970CCF">
        <w:t>Iimp</w:t>
      </w:r>
      <w:proofErr w:type="spellEnd"/>
      <w:r w:rsidRPr="00970CCF">
        <w:t xml:space="preserve"> D1 Up ≤ 230 V</w:t>
      </w:r>
    </w:p>
    <w:p w:rsidR="00FA3B43" w:rsidRPr="00970CCF" w:rsidRDefault="00FA3B43" w:rsidP="005A6824">
      <w:pPr>
        <w:pStyle w:val="Lijstalinea"/>
        <w:numPr>
          <w:ilvl w:val="0"/>
          <w:numId w:val="1"/>
        </w:numPr>
        <w:ind w:left="851" w:hanging="283"/>
      </w:pPr>
      <w:r w:rsidRPr="00970CCF">
        <w:t xml:space="preserve">Niveau de protection à 1 kV / </w:t>
      </w:r>
      <w:proofErr w:type="spellStart"/>
      <w:r w:rsidRPr="00970CCF">
        <w:t>μs</w:t>
      </w:r>
      <w:proofErr w:type="spellEnd"/>
      <w:r w:rsidRPr="00970CCF">
        <w:t xml:space="preserve"> C3 Up ≤ 60 V</w:t>
      </w:r>
    </w:p>
    <w:p w:rsidR="00FA3B43" w:rsidRPr="00970CCF" w:rsidRDefault="00FA3B43" w:rsidP="005A6824">
      <w:pPr>
        <w:pStyle w:val="Lijstalinea"/>
        <w:numPr>
          <w:ilvl w:val="0"/>
          <w:numId w:val="1"/>
        </w:numPr>
        <w:ind w:left="851" w:hanging="283"/>
      </w:pPr>
      <w:r w:rsidRPr="00970CCF">
        <w:t>Plage de transmission dc, 5 – 2400 MHz</w:t>
      </w:r>
    </w:p>
    <w:p w:rsidR="00FA3B43" w:rsidRPr="00970CCF" w:rsidRDefault="00FA3B43" w:rsidP="005A6824">
      <w:pPr>
        <w:pStyle w:val="Lijstalinea"/>
        <w:numPr>
          <w:ilvl w:val="0"/>
          <w:numId w:val="1"/>
        </w:numPr>
        <w:ind w:left="851" w:hanging="283"/>
      </w:pPr>
      <w:r w:rsidRPr="00970CCF">
        <w:t xml:space="preserve">Pertes par insertion 5 – 862 MHz 1,7 dB </w:t>
      </w:r>
    </w:p>
    <w:p w:rsidR="00FA3B43" w:rsidRPr="00970CCF" w:rsidRDefault="00FA3B43" w:rsidP="005A6824">
      <w:pPr>
        <w:pStyle w:val="Lijstalinea"/>
        <w:numPr>
          <w:ilvl w:val="0"/>
          <w:numId w:val="1"/>
        </w:numPr>
        <w:ind w:left="851" w:hanging="283"/>
      </w:pPr>
      <w:r w:rsidRPr="00970CCF">
        <w:t xml:space="preserve">Pertes par insertion 862 - 2400 MHz 1,9 dB </w:t>
      </w:r>
    </w:p>
    <w:p w:rsidR="00FA3B43" w:rsidRPr="00970CCF" w:rsidRDefault="00FA3B43" w:rsidP="005A6824">
      <w:pPr>
        <w:pStyle w:val="Lijstalinea"/>
        <w:numPr>
          <w:ilvl w:val="0"/>
          <w:numId w:val="1"/>
        </w:numPr>
        <w:ind w:left="851" w:hanging="283"/>
      </w:pPr>
      <w:r w:rsidRPr="00970CCF">
        <w:t>Pertes par retour de flux, entrée et sortie (5 – 8 MHz) ≥ 10 dB</w:t>
      </w:r>
    </w:p>
    <w:p w:rsidR="00FA3B43" w:rsidRPr="00970CCF" w:rsidRDefault="00FA3B43" w:rsidP="005A6824">
      <w:pPr>
        <w:pStyle w:val="Lijstalinea"/>
        <w:numPr>
          <w:ilvl w:val="0"/>
          <w:numId w:val="1"/>
        </w:numPr>
        <w:ind w:left="851" w:hanging="283"/>
      </w:pPr>
      <w:r w:rsidRPr="00970CCF">
        <w:t>Pertes par retour de flux, entrée et sortie (8 – 47 MHz) ≥ 14 dB</w:t>
      </w:r>
    </w:p>
    <w:p w:rsidR="00FA3B43" w:rsidRPr="00970CCF" w:rsidRDefault="00FA3B43" w:rsidP="005A6824">
      <w:pPr>
        <w:pStyle w:val="Lijstalinea"/>
        <w:numPr>
          <w:ilvl w:val="0"/>
          <w:numId w:val="1"/>
        </w:numPr>
        <w:ind w:left="851" w:hanging="283"/>
      </w:pPr>
      <w:r w:rsidRPr="00970CCF">
        <w:t>Pertes par retour de flux (47 - 3000 MHz) ≥ 18 dB (± 1,5 dB/octave)</w:t>
      </w:r>
    </w:p>
    <w:p w:rsidR="00FA3B43" w:rsidRPr="00970CCF" w:rsidRDefault="00FA3B43" w:rsidP="005A6824">
      <w:pPr>
        <w:pStyle w:val="Lijstalinea"/>
        <w:numPr>
          <w:ilvl w:val="0"/>
          <w:numId w:val="1"/>
        </w:numPr>
        <w:ind w:left="851" w:hanging="283"/>
      </w:pPr>
      <w:r w:rsidRPr="00970CCF">
        <w:t>Pertes par retour de flux prise de test (5 – 47 MHz) ≥ 18 dB</w:t>
      </w:r>
    </w:p>
    <w:p w:rsidR="00FA3B43" w:rsidRPr="00970CCF" w:rsidRDefault="00FA3B43" w:rsidP="005A6824">
      <w:pPr>
        <w:pStyle w:val="Lijstalinea"/>
        <w:numPr>
          <w:ilvl w:val="0"/>
          <w:numId w:val="1"/>
        </w:numPr>
        <w:ind w:left="851" w:hanging="283"/>
      </w:pPr>
      <w:r w:rsidRPr="00970CCF">
        <w:t xml:space="preserve">Pertes par connexion prise de test 20 dB </w:t>
      </w:r>
    </w:p>
    <w:p w:rsidR="00FA3B43" w:rsidRPr="00970CCF" w:rsidRDefault="00FA3B43" w:rsidP="005A6824">
      <w:pPr>
        <w:pStyle w:val="Lijstalinea"/>
        <w:numPr>
          <w:ilvl w:val="0"/>
          <w:numId w:val="1"/>
        </w:numPr>
        <w:ind w:left="851" w:hanging="283"/>
      </w:pPr>
      <w:r w:rsidRPr="00970CCF">
        <w:t>Pertes par blindage 5 – 300 MHz ≥ 85 dB</w:t>
      </w:r>
    </w:p>
    <w:p w:rsidR="00FA3B43" w:rsidRPr="00970CCF" w:rsidRDefault="00FA3B43" w:rsidP="005A6824">
      <w:pPr>
        <w:pStyle w:val="Lijstalinea"/>
        <w:numPr>
          <w:ilvl w:val="0"/>
          <w:numId w:val="1"/>
        </w:numPr>
        <w:ind w:left="851" w:hanging="283"/>
      </w:pPr>
      <w:r w:rsidRPr="00970CCF">
        <w:t>Pertes par blindage 300 – 470 MHz ≥ 80 dB</w:t>
      </w:r>
    </w:p>
    <w:p w:rsidR="00FA3B43" w:rsidRPr="00970CCF" w:rsidRDefault="00FA3B43" w:rsidP="005A6824">
      <w:pPr>
        <w:pStyle w:val="Lijstalinea"/>
        <w:numPr>
          <w:ilvl w:val="0"/>
          <w:numId w:val="1"/>
        </w:numPr>
        <w:ind w:left="851" w:hanging="283"/>
      </w:pPr>
      <w:r w:rsidRPr="00970CCF">
        <w:t>Pertes par blindage 470 - 1000 MHz ≥ 75 dB</w:t>
      </w:r>
    </w:p>
    <w:p w:rsidR="00FA3B43" w:rsidRPr="00970CCF" w:rsidRDefault="00FA3B43" w:rsidP="005A6824">
      <w:pPr>
        <w:pStyle w:val="Lijstalinea"/>
        <w:numPr>
          <w:ilvl w:val="0"/>
          <w:numId w:val="1"/>
        </w:numPr>
        <w:ind w:left="851" w:hanging="283"/>
      </w:pPr>
      <w:r w:rsidRPr="00970CCF">
        <w:t>Pertes par blindage 1000 – 3000 MHz ≥ 55 dB</w:t>
      </w:r>
    </w:p>
    <w:p w:rsidR="00FA3B43" w:rsidRPr="00970CCF" w:rsidRDefault="00FA3B43" w:rsidP="005A6824">
      <w:pPr>
        <w:pStyle w:val="Lijstalinea"/>
        <w:numPr>
          <w:ilvl w:val="0"/>
          <w:numId w:val="1"/>
        </w:numPr>
        <w:ind w:left="851" w:hanging="283"/>
      </w:pPr>
      <w:r w:rsidRPr="00970CCF">
        <w:t>Résistance d’onde Z 75 Ohm</w:t>
      </w:r>
    </w:p>
    <w:p w:rsidR="00FA3B43" w:rsidRPr="00970CCF" w:rsidRDefault="00FA3B43" w:rsidP="005A6824">
      <w:pPr>
        <w:pStyle w:val="Lijstalinea"/>
        <w:numPr>
          <w:ilvl w:val="0"/>
          <w:numId w:val="1"/>
        </w:numPr>
        <w:ind w:left="851" w:hanging="283"/>
      </w:pPr>
      <w:r w:rsidRPr="00970CCF">
        <w:t>Temps de réponse âme-écran ta ≤ 1 ns</w:t>
      </w:r>
    </w:p>
    <w:p w:rsidR="00FA3B43" w:rsidRPr="00970CCF" w:rsidRDefault="00FA3B43" w:rsidP="005A6824">
      <w:pPr>
        <w:pStyle w:val="Lijstalinea"/>
        <w:numPr>
          <w:ilvl w:val="0"/>
          <w:numId w:val="1"/>
        </w:numPr>
        <w:ind w:left="851" w:hanging="283"/>
      </w:pPr>
      <w:r w:rsidRPr="00970CCF">
        <w:t>Température d’utilisation TU -40°C … +80 °C</w:t>
      </w:r>
    </w:p>
    <w:p w:rsidR="00FA3B43" w:rsidRPr="00970CCF" w:rsidRDefault="00FA3B43" w:rsidP="005A6824">
      <w:pPr>
        <w:pStyle w:val="Lijstalinea"/>
        <w:numPr>
          <w:ilvl w:val="0"/>
          <w:numId w:val="1"/>
        </w:numPr>
        <w:ind w:left="851" w:hanging="283"/>
      </w:pPr>
      <w:r w:rsidRPr="00970CCF">
        <w:t>Degré de protection IP 30</w:t>
      </w:r>
    </w:p>
    <w:p w:rsidR="00FA3B43" w:rsidRPr="00970CCF" w:rsidRDefault="00FA3B43" w:rsidP="005A6824">
      <w:pPr>
        <w:pStyle w:val="Lijstalinea"/>
        <w:numPr>
          <w:ilvl w:val="0"/>
          <w:numId w:val="1"/>
        </w:numPr>
        <w:ind w:left="851" w:hanging="283"/>
      </w:pPr>
      <w:r w:rsidRPr="00970CCF">
        <w:t>Montage sur rail DIN 35 mm suivant EN 60715 ou montage mural</w:t>
      </w:r>
    </w:p>
    <w:p w:rsidR="00FA3B43" w:rsidRPr="00970CCF" w:rsidRDefault="00FA3B43" w:rsidP="005A6824">
      <w:pPr>
        <w:pStyle w:val="Lijstalinea"/>
        <w:numPr>
          <w:ilvl w:val="0"/>
          <w:numId w:val="1"/>
        </w:numPr>
        <w:ind w:left="851" w:hanging="283"/>
      </w:pPr>
      <w:r w:rsidRPr="00970CCF">
        <w:t>Raccordement entrée/sortie F bus / F bus</w:t>
      </w:r>
    </w:p>
    <w:p w:rsidR="00FA3B43" w:rsidRPr="00970CCF" w:rsidRDefault="00FA3B43" w:rsidP="005A6824">
      <w:pPr>
        <w:pStyle w:val="Lijstalinea"/>
        <w:numPr>
          <w:ilvl w:val="0"/>
          <w:numId w:val="1"/>
        </w:numPr>
        <w:ind w:left="851" w:hanging="283"/>
      </w:pPr>
      <w:r w:rsidRPr="00970CCF">
        <w:t>Mise à la terre via rail ou par vis</w:t>
      </w:r>
    </w:p>
    <w:p w:rsidR="00FA3B43" w:rsidRPr="00970CCF" w:rsidRDefault="00FA3B43" w:rsidP="005A6824">
      <w:pPr>
        <w:pStyle w:val="Lijstalinea"/>
        <w:numPr>
          <w:ilvl w:val="0"/>
          <w:numId w:val="1"/>
        </w:numPr>
        <w:ind w:left="851" w:hanging="283"/>
      </w:pPr>
      <w:r w:rsidRPr="00970CCF">
        <w:t>Matériau de l’enveloppe métal, couleur vierge</w:t>
      </w:r>
    </w:p>
    <w:p w:rsidR="00FA3B43" w:rsidRPr="00970CCF" w:rsidRDefault="00FA3B43" w:rsidP="005A6824">
      <w:pPr>
        <w:pStyle w:val="Lijstalinea"/>
        <w:numPr>
          <w:ilvl w:val="0"/>
          <w:numId w:val="1"/>
        </w:numPr>
        <w:ind w:left="851" w:hanging="283"/>
      </w:pPr>
      <w:r w:rsidRPr="00970CCF">
        <w:t>Testé suivant CEI 61643-21</w:t>
      </w:r>
    </w:p>
    <w:bookmarkEnd w:id="0"/>
    <w:p w:rsidR="005A6824" w:rsidRDefault="005A6824" w:rsidP="00FA3B43"/>
    <w:p w:rsidR="00FA3B43" w:rsidRDefault="00FA3B43" w:rsidP="00FA3B43">
      <w:r w:rsidRPr="00970CCF">
        <w:t>Fabricant: DEHN + SÖHNE</w:t>
      </w:r>
    </w:p>
    <w:p w:rsidR="00FA3B43" w:rsidRDefault="00FA3B43" w:rsidP="00FA3B43">
      <w:r w:rsidRPr="00970CCF">
        <w:t>Distributeur: STAGOBEL ELECTRO</w:t>
      </w:r>
    </w:p>
    <w:p w:rsidR="00FA3B43" w:rsidRDefault="00FA3B43" w:rsidP="00FA3B43">
      <w:r w:rsidRPr="00970CCF">
        <w:t xml:space="preserve">Description : </w:t>
      </w:r>
      <w:proofErr w:type="spellStart"/>
      <w:r w:rsidRPr="00970CCF">
        <w:t>DEHNgate</w:t>
      </w:r>
      <w:proofErr w:type="spellEnd"/>
      <w:r w:rsidRPr="00970CCF">
        <w:t xml:space="preserve"> GFF TV</w:t>
      </w:r>
    </w:p>
    <w:p w:rsidR="00FA3B43" w:rsidRDefault="00FA3B43" w:rsidP="00FA3B43">
      <w:r w:rsidRPr="00970CCF">
        <w:t>Référence Stagobel: 909 705</w:t>
      </w:r>
    </w:p>
    <w:sdt>
      <w:sdtPr>
        <w:rPr>
          <w:sz w:val="16"/>
        </w:rPr>
        <w:alias w:val="Publicatiedatum"/>
        <w:tag w:val=""/>
        <w:id w:val="-975447715"/>
        <w:placeholder>
          <w:docPart w:val="41171CA7C31342D9B747B7ABEDC96837"/>
        </w:placeholder>
        <w:dataBinding w:prefixMappings="xmlns:ns0='http://schemas.microsoft.com/office/2006/coverPageProps' " w:xpath="/ns0:CoverPageProperties[1]/ns0:PublishDate[1]" w:storeItemID="{55AF091B-3C7A-41E3-B477-F2FDAA23CFDA}"/>
        <w:date w:fullDate="2017-07-11T00:00:00Z">
          <w:dateFormat w:val="d/MM/yyyy"/>
          <w:lid w:val="nl-BE"/>
          <w:storeMappedDataAs w:val="dateTime"/>
          <w:calendar w:val="gregorian"/>
        </w:date>
      </w:sdtPr>
      <w:sdtEndPr/>
      <w:sdtContent>
        <w:p w:rsidR="00E558E6" w:rsidRPr="00FA3B43" w:rsidRDefault="00FA3B43" w:rsidP="00E558E6">
          <w:pPr>
            <w:jc w:val="right"/>
            <w:rPr>
              <w:sz w:val="16"/>
            </w:rPr>
          </w:pPr>
          <w:r>
            <w:rPr>
              <w:sz w:val="16"/>
              <w:lang w:val="nl-BE"/>
            </w:rPr>
            <w:t>11/07/2017</w:t>
          </w:r>
        </w:p>
      </w:sdtContent>
    </w:sdt>
    <w:sectPr w:rsidR="00E558E6" w:rsidRPr="00FA3B43"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43" w:rsidRDefault="00FA3B43" w:rsidP="009A1C7B">
      <w:pPr>
        <w:spacing w:after="0" w:line="240" w:lineRule="auto"/>
      </w:pPr>
      <w:r>
        <w:separator/>
      </w:r>
    </w:p>
  </w:endnote>
  <w:endnote w:type="continuationSeparator" w:id="0">
    <w:p w:rsidR="00FA3B43" w:rsidRDefault="00FA3B43"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43" w:rsidRDefault="00FA3B43" w:rsidP="009A1C7B">
      <w:pPr>
        <w:spacing w:after="0" w:line="240" w:lineRule="auto"/>
      </w:pPr>
      <w:r>
        <w:separator/>
      </w:r>
    </w:p>
  </w:footnote>
  <w:footnote w:type="continuationSeparator" w:id="0">
    <w:p w:rsidR="00FA3B43" w:rsidRDefault="00FA3B43"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F0A43"/>
    <w:multiLevelType w:val="hybridMultilevel"/>
    <w:tmpl w:val="9A9A9C2A"/>
    <w:lvl w:ilvl="0" w:tplc="7FCAEE0E">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43"/>
    <w:rsid w:val="00051F3A"/>
    <w:rsid w:val="001164DD"/>
    <w:rsid w:val="00186AFE"/>
    <w:rsid w:val="001D53C5"/>
    <w:rsid w:val="002455E1"/>
    <w:rsid w:val="002B6F33"/>
    <w:rsid w:val="00315423"/>
    <w:rsid w:val="00316170"/>
    <w:rsid w:val="003941DE"/>
    <w:rsid w:val="004022C2"/>
    <w:rsid w:val="00550B1D"/>
    <w:rsid w:val="00553516"/>
    <w:rsid w:val="005A6824"/>
    <w:rsid w:val="005F5B1D"/>
    <w:rsid w:val="00615D23"/>
    <w:rsid w:val="00632F15"/>
    <w:rsid w:val="006F3535"/>
    <w:rsid w:val="007B610D"/>
    <w:rsid w:val="00820C37"/>
    <w:rsid w:val="008E0128"/>
    <w:rsid w:val="00940BAD"/>
    <w:rsid w:val="009A1C7B"/>
    <w:rsid w:val="00A25284"/>
    <w:rsid w:val="00AB5132"/>
    <w:rsid w:val="00AD567E"/>
    <w:rsid w:val="00AE015D"/>
    <w:rsid w:val="00AE5640"/>
    <w:rsid w:val="00B64A21"/>
    <w:rsid w:val="00BC4C62"/>
    <w:rsid w:val="00BE506C"/>
    <w:rsid w:val="00CA62C5"/>
    <w:rsid w:val="00CC7D83"/>
    <w:rsid w:val="00D5400B"/>
    <w:rsid w:val="00DA5EEF"/>
    <w:rsid w:val="00E558E6"/>
    <w:rsid w:val="00F007E1"/>
    <w:rsid w:val="00F95A72"/>
    <w:rsid w:val="00FA3B43"/>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customStyle="1" w:styleId="Ondertitel1">
    <w:name w:val="Ondertitel1"/>
    <w:basedOn w:val="Standaard"/>
    <w:qFormat/>
    <w:rsid w:val="00FA3B43"/>
    <w:pPr>
      <w:spacing w:after="0" w:line="240" w:lineRule="auto"/>
    </w:pPr>
    <w:rPr>
      <w:rFonts w:eastAsia="Times New Roman" w:cs="Times New Roman"/>
      <w:b/>
      <w:sz w:val="24"/>
      <w:szCs w:val="24"/>
      <w:lang w:val="nl-BE"/>
    </w:rPr>
  </w:style>
  <w:style w:type="paragraph" w:styleId="Lijstalinea">
    <w:name w:val="List Paragraph"/>
    <w:basedOn w:val="Standaard"/>
    <w:uiPriority w:val="34"/>
    <w:qFormat/>
    <w:rsid w:val="00FA3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customStyle="1" w:styleId="Ondertitel1">
    <w:name w:val="Ondertitel1"/>
    <w:basedOn w:val="Standaard"/>
    <w:qFormat/>
    <w:rsid w:val="00FA3B43"/>
    <w:pPr>
      <w:spacing w:after="0" w:line="240" w:lineRule="auto"/>
    </w:pPr>
    <w:rPr>
      <w:rFonts w:eastAsia="Times New Roman" w:cs="Times New Roman"/>
      <w:b/>
      <w:sz w:val="24"/>
      <w:szCs w:val="24"/>
      <w:lang w:val="nl-BE"/>
    </w:rPr>
  </w:style>
  <w:style w:type="paragraph" w:styleId="Lijstalinea">
    <w:name w:val="List Paragraph"/>
    <w:basedOn w:val="Standaard"/>
    <w:uiPriority w:val="34"/>
    <w:qFormat/>
    <w:rsid w:val="00FA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42A81D12BE43858E089A0904B0B3AC"/>
        <w:category>
          <w:name w:val="Algemeen"/>
          <w:gallery w:val="placeholder"/>
        </w:category>
        <w:types>
          <w:type w:val="bbPlcHdr"/>
        </w:types>
        <w:behaviors>
          <w:behavior w:val="content"/>
        </w:behaviors>
        <w:guid w:val="{3277E095-FC24-4539-AE6B-02AFBD24CB5E}"/>
      </w:docPartPr>
      <w:docPartBody>
        <w:p w:rsidR="00FB0AD6" w:rsidRDefault="00FB0AD6">
          <w:pPr>
            <w:pStyle w:val="5542A81D12BE43858E089A0904B0B3AC"/>
          </w:pPr>
          <w:r w:rsidRPr="00390F3C">
            <w:rPr>
              <w:rStyle w:val="Tekstvantijdelijkeaanduiding"/>
            </w:rPr>
            <w:t>[Titel]</w:t>
          </w:r>
        </w:p>
      </w:docPartBody>
    </w:docPart>
    <w:docPart>
      <w:docPartPr>
        <w:name w:val="41171CA7C31342D9B747B7ABEDC96837"/>
        <w:category>
          <w:name w:val="Algemeen"/>
          <w:gallery w:val="placeholder"/>
        </w:category>
        <w:types>
          <w:type w:val="bbPlcHdr"/>
        </w:types>
        <w:behaviors>
          <w:behavior w:val="content"/>
        </w:behaviors>
        <w:guid w:val="{3D4B1389-7F38-48C0-83DA-731A7EF103F5}"/>
      </w:docPartPr>
      <w:docPartBody>
        <w:p w:rsidR="00FB0AD6" w:rsidRDefault="00FB0AD6">
          <w:pPr>
            <w:pStyle w:val="41171CA7C31342D9B747B7ABEDC96837"/>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D6"/>
    <w:rsid w:val="00FB0A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542A81D12BE43858E089A0904B0B3AC">
    <w:name w:val="5542A81D12BE43858E089A0904B0B3AC"/>
  </w:style>
  <w:style w:type="paragraph" w:customStyle="1" w:styleId="41171CA7C31342D9B747B7ABEDC96837">
    <w:name w:val="41171CA7C31342D9B747B7ABEDC968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542A81D12BE43858E089A0904B0B3AC">
    <w:name w:val="5542A81D12BE43858E089A0904B0B3AC"/>
  </w:style>
  <w:style w:type="paragraph" w:customStyle="1" w:styleId="41171CA7C31342D9B747B7ABEDC96837">
    <w:name w:val="41171CA7C31342D9B747B7ABEDC96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90AFE-620A-4A37-91C0-00ECE0AC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3</TotalTime>
  <Pages>2</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909705 DEHNgate GFF TV</dc:title>
  <dc:creator>Bart Demol</dc:creator>
  <cp:lastModifiedBy>Bart Demol</cp:lastModifiedBy>
  <cp:revision>2</cp:revision>
  <dcterms:created xsi:type="dcterms:W3CDTF">2017-07-11T08:26:00Z</dcterms:created>
  <dcterms:modified xsi:type="dcterms:W3CDTF">2017-07-11T09:43:00Z</dcterms:modified>
</cp:coreProperties>
</file>