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D5CDBB941BCC48C599D6259928CC70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354B98" w:rsidRDefault="00DD53DC">
          <w:pPr>
            <w:rPr>
              <w:sz w:val="24"/>
              <w:szCs w:val="24"/>
            </w:rPr>
          </w:pPr>
          <w:r w:rsidRPr="00354B98">
            <w:rPr>
              <w:b/>
              <w:sz w:val="24"/>
              <w:szCs w:val="24"/>
            </w:rPr>
            <w:t>95115 DV M TT 2P 255 FM</w:t>
          </w:r>
        </w:p>
      </w:sdtContent>
    </w:sdt>
    <w:p w:rsidR="00DD53DC" w:rsidRPr="00354B98" w:rsidRDefault="00DD53DC" w:rsidP="00DD53DC">
      <w:r w:rsidRPr="00354B98">
        <w:t xml:space="preserve">Parafoudre-parasurtension combiné, bipolaire, modulaire, pour système 230/400V TT, comprenant une embase et des modules de protection </w:t>
      </w:r>
      <w:proofErr w:type="spellStart"/>
      <w:r w:rsidRPr="00354B98">
        <w:t>débrochables</w:t>
      </w:r>
      <w:proofErr w:type="spellEnd"/>
      <w:r w:rsidRPr="00354B98">
        <w:t>, avec contact pour télésignalisation de l’état de fonctionnement</w:t>
      </w:r>
    </w:p>
    <w:p w:rsidR="00DD53DC" w:rsidRPr="00354B98" w:rsidRDefault="00DD53DC" w:rsidP="00DD53DC"/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Parasurtension de Type 1 selon EN 63643-11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Eclateur à technologie RADAX-Flow avec limitation de courant de suite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Remplacement simple des modules par bouton de déverrouillage résistant aux vibrations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Indication de défaut par un voyant mécanique rouge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Eclateur à air encapsulé, sans formation d’arc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 xml:space="preserve">Tension maximale de régime permanent: 255 V </w:t>
      </w:r>
      <w:proofErr w:type="spellStart"/>
      <w:r w:rsidRPr="00354B98">
        <w:t>ac</w:t>
      </w:r>
      <w:proofErr w:type="spellEnd"/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Niveau de protection: &lt;= 1,5 kV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Courant de choc de foudre (10/350): 50 kA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 xml:space="preserve">Pouvoir d’extinction du courant de suite: 50 </w:t>
      </w:r>
      <w:proofErr w:type="spellStart"/>
      <w:r w:rsidRPr="00354B98">
        <w:t>kAeff</w:t>
      </w:r>
      <w:proofErr w:type="spellEnd"/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 xml:space="preserve">Limitation du courant de suite: non déclenchement d’un fusible 20A </w:t>
      </w:r>
      <w:proofErr w:type="spellStart"/>
      <w:r w:rsidRPr="00354B98">
        <w:t>gL</w:t>
      </w:r>
      <w:proofErr w:type="spellEnd"/>
      <w:r w:rsidRPr="00354B98">
        <w:t>/</w:t>
      </w:r>
      <w:proofErr w:type="spellStart"/>
      <w:r w:rsidRPr="00354B98">
        <w:t>gG</w:t>
      </w:r>
      <w:proofErr w:type="spellEnd"/>
      <w:r w:rsidRPr="00354B98">
        <w:t xml:space="preserve"> à 50 </w:t>
      </w:r>
      <w:proofErr w:type="spellStart"/>
      <w:r w:rsidRPr="00354B98">
        <w:t>kAeff</w:t>
      </w:r>
      <w:proofErr w:type="spellEnd"/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Résistant au vibration et choc selon EN 60068-2</w:t>
      </w:r>
      <w:r w:rsidRPr="00354B98">
        <w:br/>
        <w:t>vibration sinusoïdal: 5 g (11 Hz – 200 Hz); 4 g (200 Hz – 500 Hz)</w:t>
      </w:r>
      <w:r w:rsidRPr="00354B98">
        <w:br/>
        <w:t>vibration aléatoire: 1,9 g (5Hz – 500 Hz)</w:t>
      </w:r>
      <w:r w:rsidRPr="00354B98">
        <w:br/>
        <w:t>choc: 30 g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 xml:space="preserve">Coordination énergétique selon EN 62305-4 avec </w:t>
      </w:r>
      <w:proofErr w:type="spellStart"/>
      <w:r w:rsidRPr="00354B98">
        <w:t>parasurtensions</w:t>
      </w:r>
      <w:proofErr w:type="spellEnd"/>
      <w:r w:rsidRPr="00354B98">
        <w:t xml:space="preserve"> de Type 2 et Type 3 de la famille </w:t>
      </w:r>
      <w:proofErr w:type="spellStart"/>
      <w:r w:rsidRPr="00354B98">
        <w:t>Red</w:t>
      </w:r>
      <w:proofErr w:type="spellEnd"/>
      <w:r w:rsidRPr="00354B98">
        <w:t>/Line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Appareil pour montage sur rail de 35mm suivant DIN 43880, 8 modules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Codification claire des modules de protection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Des doubles borniers permettent un câblage en V pour des courants nominales jusqu’à 125A.</w:t>
      </w:r>
    </w:p>
    <w:p w:rsidR="00DD53DC" w:rsidRPr="00354B98" w:rsidRDefault="00DD53DC" w:rsidP="00DD53DC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354B98">
        <w:t>Télésignalisation par contact inverseur libre de potentiel</w:t>
      </w:r>
    </w:p>
    <w:p w:rsidR="00DD53DC" w:rsidRPr="00354B98" w:rsidRDefault="00DD53DC" w:rsidP="00DD53DC"/>
    <w:p w:rsidR="00DD53DC" w:rsidRPr="00354B98" w:rsidRDefault="00DD53DC" w:rsidP="00DD53DC">
      <w:r w:rsidRPr="00354B98">
        <w:t>Fabricant: DEHN + SÖHNE</w:t>
      </w:r>
    </w:p>
    <w:p w:rsidR="00DD53DC" w:rsidRPr="00354B98" w:rsidRDefault="00DD53DC" w:rsidP="00DD53DC">
      <w:r w:rsidRPr="00354B98">
        <w:t>Distributeur: STAGOBEL ELECTRO</w:t>
      </w:r>
    </w:p>
    <w:p w:rsidR="00DD53DC" w:rsidRPr="00354B98" w:rsidRDefault="00DD53DC" w:rsidP="00DD53DC">
      <w:r w:rsidRPr="00354B98">
        <w:t>Type: DV M TT 2P 255 FM</w:t>
      </w:r>
    </w:p>
    <w:p w:rsidR="00DD53DC" w:rsidRPr="00354B98" w:rsidRDefault="00DD53DC" w:rsidP="00DD53DC">
      <w:r w:rsidRPr="00354B98">
        <w:t>Référence: 951 115</w:t>
      </w:r>
    </w:p>
    <w:p w:rsidR="00BC4C62" w:rsidRPr="00354B98" w:rsidRDefault="00BC4C62"/>
    <w:p w:rsidR="00BE506C" w:rsidRPr="00354B98" w:rsidRDefault="00BE506C"/>
    <w:sdt>
      <w:sdtPr>
        <w:rPr>
          <w:sz w:val="16"/>
        </w:rPr>
        <w:alias w:val="Publicatiedatum"/>
        <w:tag w:val=""/>
        <w:id w:val="-975447715"/>
        <w:placeholder>
          <w:docPart w:val="FF876B311920429C884D646E0D6405B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DD53DC" w:rsidP="00E558E6">
          <w:pPr>
            <w:jc w:val="right"/>
            <w:rPr>
              <w:sz w:val="16"/>
              <w:lang w:val="nl-BE"/>
            </w:rPr>
          </w:pPr>
          <w:r w:rsidRPr="00354B98">
            <w:rPr>
              <w:sz w:val="16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DC" w:rsidRDefault="00DD53DC" w:rsidP="009A1C7B">
      <w:pPr>
        <w:spacing w:after="0" w:line="240" w:lineRule="auto"/>
      </w:pPr>
      <w:r>
        <w:separator/>
      </w:r>
    </w:p>
  </w:endnote>
  <w:endnote w:type="continuationSeparator" w:id="0">
    <w:p w:rsidR="00DD53DC" w:rsidRDefault="00DD53DC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DC" w:rsidRDefault="00DD53DC" w:rsidP="009A1C7B">
      <w:pPr>
        <w:spacing w:after="0" w:line="240" w:lineRule="auto"/>
      </w:pPr>
      <w:r>
        <w:separator/>
      </w:r>
    </w:p>
  </w:footnote>
  <w:footnote w:type="continuationSeparator" w:id="0">
    <w:p w:rsidR="00DD53DC" w:rsidRDefault="00DD53DC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C"/>
    <w:rsid w:val="00051F3A"/>
    <w:rsid w:val="001164DD"/>
    <w:rsid w:val="00186AFE"/>
    <w:rsid w:val="001D53C5"/>
    <w:rsid w:val="002455E1"/>
    <w:rsid w:val="002B6F33"/>
    <w:rsid w:val="00315423"/>
    <w:rsid w:val="00316170"/>
    <w:rsid w:val="00354B98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DD53DC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DBB941BCC48C599D6259928CC7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01795-88E0-43E6-A5FF-DA2ED7096B5D}"/>
      </w:docPartPr>
      <w:docPartBody>
        <w:p w:rsidR="00FF09F4" w:rsidRDefault="00FF09F4">
          <w:pPr>
            <w:pStyle w:val="D5CDBB941BCC48C599D6259928CC7009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FF876B311920429C884D646E0D640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B11D1-4C5B-476C-B429-CCDBE513B56F}"/>
      </w:docPartPr>
      <w:docPartBody>
        <w:p w:rsidR="00FF09F4" w:rsidRDefault="00FF09F4">
          <w:pPr>
            <w:pStyle w:val="FF876B311920429C884D646E0D6405B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F4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5CDBB941BCC48C599D6259928CC7009">
    <w:name w:val="D5CDBB941BCC48C599D6259928CC7009"/>
  </w:style>
  <w:style w:type="paragraph" w:customStyle="1" w:styleId="FF876B311920429C884D646E0D6405BC">
    <w:name w:val="FF876B311920429C884D646E0D640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5CDBB941BCC48C599D6259928CC7009">
    <w:name w:val="D5CDBB941BCC48C599D6259928CC7009"/>
  </w:style>
  <w:style w:type="paragraph" w:customStyle="1" w:styleId="FF876B311920429C884D646E0D6405BC">
    <w:name w:val="FF876B311920429C884D646E0D640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9009D6-AEE3-4128-96BF-F81251F7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9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95115 DV M TT 2P 255 FM</dc:title>
  <dc:creator>Bart Demol</dc:creator>
  <cp:lastModifiedBy>Bart Demol</cp:lastModifiedBy>
  <cp:revision>2</cp:revision>
  <dcterms:created xsi:type="dcterms:W3CDTF">2017-07-11T12:09:00Z</dcterms:created>
  <dcterms:modified xsi:type="dcterms:W3CDTF">2017-07-11T12:19:00Z</dcterms:modified>
</cp:coreProperties>
</file>